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85AF92" w14:textId="77777777" w:rsidR="00F20385" w:rsidRDefault="00F20385" w:rsidP="00FA0DC5">
      <w:pPr>
        <w:spacing w:line="480" w:lineRule="auto"/>
        <w:ind w:firstLine="720"/>
        <w:jc w:val="center"/>
        <w:rPr>
          <w:rFonts w:ascii="Times New Roman" w:hAnsi="Times New Roman" w:cs="Times New Roman"/>
          <w:sz w:val="24"/>
          <w:szCs w:val="24"/>
        </w:rPr>
      </w:pPr>
    </w:p>
    <w:p w14:paraId="56BFABDA" w14:textId="77777777" w:rsidR="00F20385" w:rsidRDefault="00F20385" w:rsidP="00FA0DC5">
      <w:pPr>
        <w:spacing w:line="480" w:lineRule="auto"/>
        <w:ind w:firstLine="720"/>
        <w:jc w:val="center"/>
        <w:rPr>
          <w:rFonts w:ascii="Times New Roman" w:hAnsi="Times New Roman" w:cs="Times New Roman"/>
          <w:sz w:val="24"/>
          <w:szCs w:val="24"/>
        </w:rPr>
      </w:pPr>
    </w:p>
    <w:p w14:paraId="6E17AA31" w14:textId="77777777" w:rsidR="00F20385" w:rsidRDefault="00F20385" w:rsidP="00FA0DC5">
      <w:pPr>
        <w:spacing w:line="480" w:lineRule="auto"/>
        <w:ind w:firstLine="720"/>
        <w:jc w:val="center"/>
        <w:rPr>
          <w:rFonts w:ascii="Times New Roman" w:hAnsi="Times New Roman" w:cs="Times New Roman"/>
          <w:sz w:val="24"/>
          <w:szCs w:val="24"/>
        </w:rPr>
      </w:pPr>
    </w:p>
    <w:p w14:paraId="31C33649" w14:textId="77777777" w:rsidR="00F20385" w:rsidRDefault="00F20385" w:rsidP="00FA0DC5">
      <w:pPr>
        <w:spacing w:line="480" w:lineRule="auto"/>
        <w:ind w:firstLine="720"/>
        <w:jc w:val="center"/>
        <w:rPr>
          <w:rFonts w:ascii="Times New Roman" w:hAnsi="Times New Roman" w:cs="Times New Roman"/>
          <w:sz w:val="24"/>
          <w:szCs w:val="24"/>
        </w:rPr>
      </w:pPr>
    </w:p>
    <w:p w14:paraId="75C48441" w14:textId="77777777" w:rsidR="00F20385" w:rsidRDefault="00F20385" w:rsidP="00FA0DC5">
      <w:pPr>
        <w:spacing w:line="480" w:lineRule="auto"/>
        <w:ind w:firstLine="720"/>
        <w:jc w:val="center"/>
        <w:rPr>
          <w:rFonts w:ascii="Times New Roman" w:hAnsi="Times New Roman" w:cs="Times New Roman"/>
          <w:sz w:val="24"/>
          <w:szCs w:val="24"/>
        </w:rPr>
      </w:pPr>
    </w:p>
    <w:p w14:paraId="79B4F4A7" w14:textId="290667B0" w:rsidR="00FA0DC5" w:rsidRDefault="00FA0DC5" w:rsidP="00FA0DC5">
      <w:pPr>
        <w:spacing w:line="480" w:lineRule="auto"/>
        <w:ind w:firstLine="720"/>
        <w:jc w:val="center"/>
        <w:rPr>
          <w:rFonts w:ascii="Times New Roman" w:hAnsi="Times New Roman" w:cs="Times New Roman"/>
          <w:sz w:val="24"/>
          <w:szCs w:val="24"/>
        </w:rPr>
      </w:pPr>
      <w:r w:rsidRPr="00FA0DC5">
        <w:rPr>
          <w:rFonts w:ascii="Times New Roman" w:hAnsi="Times New Roman" w:cs="Times New Roman"/>
          <w:sz w:val="24"/>
          <w:szCs w:val="24"/>
        </w:rPr>
        <w:t>Settling Trade Dispute</w:t>
      </w:r>
    </w:p>
    <w:p w14:paraId="14DDE629" w14:textId="77777777" w:rsidR="00FA0DC5" w:rsidRDefault="00FA0DC5" w:rsidP="00FA0DC5">
      <w:pPr>
        <w:spacing w:line="480" w:lineRule="auto"/>
        <w:ind w:firstLine="720"/>
        <w:jc w:val="center"/>
        <w:rPr>
          <w:rFonts w:ascii="Times New Roman" w:hAnsi="Times New Roman" w:cs="Times New Roman"/>
          <w:sz w:val="24"/>
          <w:szCs w:val="24"/>
        </w:rPr>
      </w:pPr>
      <w:bookmarkStart w:id="0" w:name="_Hlk13070620"/>
      <w:r>
        <w:rPr>
          <w:rFonts w:ascii="Times New Roman" w:hAnsi="Times New Roman" w:cs="Times New Roman"/>
          <w:sz w:val="24"/>
          <w:szCs w:val="24"/>
        </w:rPr>
        <w:t xml:space="preserve">Student’s Name </w:t>
      </w:r>
    </w:p>
    <w:p w14:paraId="1FD37A61" w14:textId="77777777" w:rsidR="00FA0DC5" w:rsidRDefault="00FA0DC5" w:rsidP="00FA0DC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0F0A99A8" w14:textId="77777777" w:rsidR="00FA0DC5" w:rsidRDefault="00FA0DC5" w:rsidP="00FA0DC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bookmarkEnd w:id="0"/>
    </w:p>
    <w:p w14:paraId="24B58146" w14:textId="77777777" w:rsidR="00FA0DC5" w:rsidRDefault="00FA0DC5" w:rsidP="00FA0DC5">
      <w:pPr>
        <w:spacing w:line="480" w:lineRule="auto"/>
        <w:ind w:firstLine="720"/>
        <w:rPr>
          <w:rFonts w:ascii="Times New Roman" w:hAnsi="Times New Roman" w:cs="Times New Roman"/>
          <w:sz w:val="24"/>
          <w:szCs w:val="24"/>
        </w:rPr>
      </w:pPr>
    </w:p>
    <w:p w14:paraId="756C65E8" w14:textId="77777777" w:rsidR="00FA0DC5" w:rsidRDefault="00FA0DC5" w:rsidP="00FA0DC5">
      <w:pPr>
        <w:spacing w:line="480" w:lineRule="auto"/>
        <w:ind w:firstLine="720"/>
        <w:jc w:val="center"/>
        <w:rPr>
          <w:rFonts w:ascii="Times New Roman" w:hAnsi="Times New Roman" w:cs="Times New Roman"/>
          <w:sz w:val="24"/>
          <w:szCs w:val="24"/>
        </w:rPr>
      </w:pPr>
    </w:p>
    <w:p w14:paraId="4E0076DE" w14:textId="77777777" w:rsidR="00FA0DC5" w:rsidRDefault="00FA0DC5" w:rsidP="00FA0DC5">
      <w:pPr>
        <w:spacing w:line="480" w:lineRule="auto"/>
        <w:ind w:firstLine="720"/>
        <w:rPr>
          <w:rFonts w:ascii="Times New Roman" w:hAnsi="Times New Roman" w:cs="Times New Roman"/>
          <w:sz w:val="24"/>
          <w:szCs w:val="24"/>
        </w:rPr>
      </w:pPr>
    </w:p>
    <w:p w14:paraId="733F3409" w14:textId="77777777" w:rsidR="00FA0DC5" w:rsidRDefault="00FA0DC5" w:rsidP="00FA0DC5">
      <w:pPr>
        <w:spacing w:line="480" w:lineRule="auto"/>
        <w:ind w:firstLine="720"/>
        <w:rPr>
          <w:rFonts w:ascii="Times New Roman" w:hAnsi="Times New Roman" w:cs="Times New Roman"/>
          <w:sz w:val="24"/>
          <w:szCs w:val="24"/>
        </w:rPr>
      </w:pPr>
    </w:p>
    <w:p w14:paraId="01672108" w14:textId="77777777" w:rsidR="00FA0DC5" w:rsidRDefault="00FA0DC5" w:rsidP="00FA0DC5">
      <w:pPr>
        <w:spacing w:line="480" w:lineRule="auto"/>
        <w:ind w:firstLine="720"/>
        <w:rPr>
          <w:rFonts w:ascii="Times New Roman" w:hAnsi="Times New Roman" w:cs="Times New Roman"/>
          <w:sz w:val="24"/>
          <w:szCs w:val="24"/>
        </w:rPr>
      </w:pPr>
    </w:p>
    <w:p w14:paraId="5A5825FE" w14:textId="77777777" w:rsidR="00FA0DC5" w:rsidRDefault="00FA0DC5" w:rsidP="00872C3B">
      <w:pPr>
        <w:spacing w:line="480" w:lineRule="auto"/>
        <w:rPr>
          <w:rFonts w:ascii="Times New Roman" w:hAnsi="Times New Roman" w:cs="Times New Roman"/>
          <w:sz w:val="24"/>
          <w:szCs w:val="24"/>
        </w:rPr>
      </w:pPr>
    </w:p>
    <w:p w14:paraId="036D6C62" w14:textId="77777777" w:rsidR="00872C3B" w:rsidRDefault="00872C3B">
      <w:pPr>
        <w:rPr>
          <w:rFonts w:ascii="Times New Roman" w:hAnsi="Times New Roman" w:cs="Times New Roman"/>
          <w:sz w:val="24"/>
          <w:szCs w:val="24"/>
        </w:rPr>
      </w:pPr>
      <w:r>
        <w:rPr>
          <w:rFonts w:ascii="Times New Roman" w:hAnsi="Times New Roman" w:cs="Times New Roman"/>
          <w:sz w:val="24"/>
          <w:szCs w:val="24"/>
        </w:rPr>
        <w:br w:type="page"/>
      </w:r>
    </w:p>
    <w:p w14:paraId="21FFD907" w14:textId="4DC115C8" w:rsidR="00FA0DC5" w:rsidRDefault="00872C3B" w:rsidP="00872C3B">
      <w:pPr>
        <w:spacing w:line="480" w:lineRule="auto"/>
        <w:ind w:firstLine="720"/>
        <w:jc w:val="center"/>
        <w:rPr>
          <w:rFonts w:ascii="Times New Roman" w:hAnsi="Times New Roman" w:cs="Times New Roman"/>
          <w:sz w:val="24"/>
          <w:szCs w:val="24"/>
        </w:rPr>
      </w:pPr>
      <w:r w:rsidRPr="00FA0DC5">
        <w:rPr>
          <w:rFonts w:ascii="Times New Roman" w:hAnsi="Times New Roman" w:cs="Times New Roman"/>
          <w:sz w:val="24"/>
          <w:szCs w:val="24"/>
        </w:rPr>
        <w:lastRenderedPageBreak/>
        <w:t>Settling Trade Dispute</w:t>
      </w:r>
    </w:p>
    <w:p w14:paraId="4782DAC9" w14:textId="1BB6A6FC" w:rsidR="00FA0DC5" w:rsidRPr="00FA0DC5" w:rsidRDefault="00FA0DC5" w:rsidP="00FA0DC5">
      <w:pPr>
        <w:spacing w:line="480" w:lineRule="auto"/>
        <w:ind w:firstLine="720"/>
        <w:rPr>
          <w:rFonts w:ascii="Times New Roman" w:hAnsi="Times New Roman" w:cs="Times New Roman"/>
          <w:sz w:val="24"/>
          <w:szCs w:val="24"/>
        </w:rPr>
      </w:pPr>
      <w:r w:rsidRPr="00FA0DC5">
        <w:rPr>
          <w:rFonts w:ascii="Times New Roman" w:hAnsi="Times New Roman" w:cs="Times New Roman"/>
          <w:sz w:val="24"/>
          <w:szCs w:val="24"/>
        </w:rPr>
        <w:t>Settling disputes is among the primary activities of World Trade Organization</w:t>
      </w:r>
      <w:r w:rsidR="007A2824">
        <w:rPr>
          <w:rFonts w:ascii="Times New Roman" w:hAnsi="Times New Roman" w:cs="Times New Roman"/>
          <w:sz w:val="24"/>
          <w:szCs w:val="24"/>
        </w:rPr>
        <w:t xml:space="preserve"> (WTO)</w:t>
      </w:r>
      <w:r w:rsidRPr="00FA0DC5">
        <w:rPr>
          <w:rFonts w:ascii="Times New Roman" w:hAnsi="Times New Roman" w:cs="Times New Roman"/>
          <w:sz w:val="24"/>
          <w:szCs w:val="24"/>
        </w:rPr>
        <w:t>. A trade dispute occurs when a member state beli</w:t>
      </w:r>
      <w:r w:rsidR="005A76BB">
        <w:rPr>
          <w:rFonts w:ascii="Times New Roman" w:hAnsi="Times New Roman" w:cs="Times New Roman"/>
          <w:sz w:val="24"/>
          <w:szCs w:val="24"/>
        </w:rPr>
        <w:t>eves that th</w:t>
      </w:r>
      <w:bookmarkStart w:id="1" w:name="_GoBack"/>
      <w:bookmarkEnd w:id="1"/>
      <w:r w:rsidR="005A76BB">
        <w:rPr>
          <w:rFonts w:ascii="Times New Roman" w:hAnsi="Times New Roman" w:cs="Times New Roman"/>
          <w:sz w:val="24"/>
          <w:szCs w:val="24"/>
        </w:rPr>
        <w:t>eir counterpart</w:t>
      </w:r>
      <w:r w:rsidRPr="00FA0DC5">
        <w:rPr>
          <w:rFonts w:ascii="Times New Roman" w:hAnsi="Times New Roman" w:cs="Times New Roman"/>
          <w:sz w:val="24"/>
          <w:szCs w:val="24"/>
        </w:rPr>
        <w:t xml:space="preserve"> is breaching a commitment or an agreement as they had concurred in the WTO. The WTO has the most vigilant dispute resolution system in the entire world. Since 1995 more than 500 disputes have been presented to WTO and more than 340 decisions have been issued. </w:t>
      </w:r>
    </w:p>
    <w:p w14:paraId="02101FB3" w14:textId="32192D77" w:rsidR="00FA0DC5" w:rsidRPr="00FA0DC5" w:rsidRDefault="00FA0DC5" w:rsidP="00FA0DC5">
      <w:pPr>
        <w:spacing w:line="480" w:lineRule="auto"/>
        <w:ind w:firstLine="720"/>
        <w:rPr>
          <w:rFonts w:ascii="Times New Roman" w:hAnsi="Times New Roman" w:cs="Times New Roman"/>
          <w:sz w:val="24"/>
          <w:szCs w:val="24"/>
        </w:rPr>
      </w:pPr>
      <w:r w:rsidRPr="00FA0DC5">
        <w:rPr>
          <w:rFonts w:ascii="Times New Roman" w:hAnsi="Times New Roman" w:cs="Times New Roman"/>
          <w:sz w:val="24"/>
          <w:szCs w:val="24"/>
        </w:rPr>
        <w:t>Trade disputes comprise a very critical element of the industrial relations system. The dispute system and mechanism are defined in the Trade Dispute Act of 1976</w:t>
      </w:r>
      <w:r w:rsidRPr="00FA0DC5">
        <w:t xml:space="preserve"> </w:t>
      </w:r>
      <w:r>
        <w:t>(</w:t>
      </w:r>
      <w:r w:rsidRPr="00FA0DC5">
        <w:rPr>
          <w:rFonts w:ascii="Times New Roman" w:hAnsi="Times New Roman" w:cs="Times New Roman"/>
          <w:sz w:val="24"/>
          <w:szCs w:val="24"/>
        </w:rPr>
        <w:t>Cohen, 2014</w:t>
      </w:r>
      <w:r>
        <w:rPr>
          <w:rFonts w:ascii="Times New Roman" w:hAnsi="Times New Roman" w:cs="Times New Roman"/>
          <w:sz w:val="24"/>
          <w:szCs w:val="24"/>
        </w:rPr>
        <w:t>)</w:t>
      </w:r>
      <w:r w:rsidRPr="00FA0DC5">
        <w:rPr>
          <w:rFonts w:ascii="Times New Roman" w:hAnsi="Times New Roman" w:cs="Times New Roman"/>
          <w:sz w:val="24"/>
          <w:szCs w:val="24"/>
        </w:rPr>
        <w:t xml:space="preserve">. According to the Act, the dispute can be any disagreement between workers and employers or between employees a fellow employee, which is linked by the terms of work as well as physical conditions of employment of any individual. </w:t>
      </w:r>
    </w:p>
    <w:p w14:paraId="3F9CBEDD" w14:textId="36B67430" w:rsidR="00FA0DC5" w:rsidRPr="00FA0DC5" w:rsidRDefault="00FA0DC5" w:rsidP="00FA0DC5">
      <w:pPr>
        <w:spacing w:line="480" w:lineRule="auto"/>
        <w:ind w:firstLine="720"/>
        <w:rPr>
          <w:rFonts w:ascii="Times New Roman" w:hAnsi="Times New Roman" w:cs="Times New Roman"/>
          <w:sz w:val="24"/>
          <w:szCs w:val="24"/>
        </w:rPr>
      </w:pPr>
      <w:r w:rsidRPr="00FA0DC5">
        <w:rPr>
          <w:rFonts w:ascii="Times New Roman" w:hAnsi="Times New Roman" w:cs="Times New Roman"/>
          <w:sz w:val="24"/>
          <w:szCs w:val="24"/>
        </w:rPr>
        <w:t>All solutions to problems that are initially raised under the discussion and dispute resolution provisions of the addressed agreements such as arbitration awards shall be persistent with the laid agreements and it is not subject to dissolution or impair benefits accumulating to any member as</w:t>
      </w:r>
      <w:r w:rsidR="00872C3B">
        <w:rPr>
          <w:rFonts w:ascii="Times New Roman" w:hAnsi="Times New Roman" w:cs="Times New Roman"/>
          <w:sz w:val="24"/>
          <w:szCs w:val="24"/>
        </w:rPr>
        <w:t xml:space="preserve"> stated in the agreement. Cohen</w:t>
      </w:r>
      <w:r w:rsidRPr="00FA0DC5">
        <w:rPr>
          <w:rFonts w:ascii="Times New Roman" w:hAnsi="Times New Roman" w:cs="Times New Roman"/>
          <w:sz w:val="24"/>
          <w:szCs w:val="24"/>
        </w:rPr>
        <w:t xml:space="preserve"> </w:t>
      </w:r>
      <w:r>
        <w:rPr>
          <w:rFonts w:ascii="Times New Roman" w:hAnsi="Times New Roman" w:cs="Times New Roman"/>
          <w:sz w:val="24"/>
          <w:szCs w:val="24"/>
        </w:rPr>
        <w:t>(</w:t>
      </w:r>
      <w:r w:rsidRPr="00FA0DC5">
        <w:rPr>
          <w:rFonts w:ascii="Times New Roman" w:hAnsi="Times New Roman" w:cs="Times New Roman"/>
          <w:sz w:val="24"/>
          <w:szCs w:val="24"/>
        </w:rPr>
        <w:t>2014</w:t>
      </w:r>
      <w:r>
        <w:rPr>
          <w:rFonts w:ascii="Times New Roman" w:hAnsi="Times New Roman" w:cs="Times New Roman"/>
          <w:sz w:val="24"/>
          <w:szCs w:val="24"/>
        </w:rPr>
        <w:t>) posit that t</w:t>
      </w:r>
      <w:r w:rsidRPr="00FA0DC5">
        <w:rPr>
          <w:rFonts w:ascii="Times New Roman" w:hAnsi="Times New Roman" w:cs="Times New Roman"/>
          <w:sz w:val="24"/>
          <w:szCs w:val="24"/>
        </w:rPr>
        <w:t xml:space="preserve">he dispute resolution begins by agreement to matters previously raised through consultation as well as dispute resolution provisions as directed by the agreements, and the dispute solution board is notified together with the appropriate committees and councils where any member having concerns is free to raise any concerns associated thereto. Before presenting a case, a member is expected to practice the judgment involving the dispute and determine its fruitfulness. The objective of the dispute settlement approach is to provide harmony through a peaceful mechanism to a dispute. </w:t>
      </w:r>
    </w:p>
    <w:p w14:paraId="7B52FDE6" w14:textId="77777777" w:rsidR="00FA0DC5" w:rsidRPr="00FA0DC5" w:rsidRDefault="00FA0DC5" w:rsidP="00FA0DC5">
      <w:pPr>
        <w:spacing w:line="480" w:lineRule="auto"/>
        <w:ind w:firstLine="720"/>
        <w:rPr>
          <w:rFonts w:ascii="Times New Roman" w:hAnsi="Times New Roman" w:cs="Times New Roman"/>
          <w:sz w:val="24"/>
          <w:szCs w:val="24"/>
        </w:rPr>
      </w:pPr>
      <w:r w:rsidRPr="00FA0DC5">
        <w:rPr>
          <w:rFonts w:ascii="Times New Roman" w:hAnsi="Times New Roman" w:cs="Times New Roman"/>
          <w:sz w:val="24"/>
          <w:szCs w:val="24"/>
        </w:rPr>
        <w:lastRenderedPageBreak/>
        <w:t xml:space="preserve">Expert determination is critical when finding a solution to trade disputes where the parties have to agree using via their original agreement or based on ad hoc when the dispute arises. Expert determination is crucial because it helps the system to determine who is wrong and who is right. The process is less costly and provides flexibility to the parties to agree to the right remit and scope of experience as well as the authority of the expert. </w:t>
      </w:r>
    </w:p>
    <w:p w14:paraId="39E35AB0" w14:textId="3DC47685" w:rsidR="00FA0DC5" w:rsidRPr="00FA0DC5" w:rsidRDefault="00FA0DC5" w:rsidP="00FA0DC5">
      <w:pPr>
        <w:spacing w:line="480" w:lineRule="auto"/>
        <w:ind w:firstLine="720"/>
        <w:rPr>
          <w:rFonts w:ascii="Times New Roman" w:hAnsi="Times New Roman" w:cs="Times New Roman"/>
          <w:sz w:val="24"/>
          <w:szCs w:val="24"/>
        </w:rPr>
      </w:pPr>
      <w:r w:rsidRPr="00FA0DC5">
        <w:rPr>
          <w:rFonts w:ascii="Times New Roman" w:hAnsi="Times New Roman" w:cs="Times New Roman"/>
          <w:sz w:val="24"/>
          <w:szCs w:val="24"/>
        </w:rPr>
        <w:t xml:space="preserve">A solution that is mutually acknowledged to the involved parties to </w:t>
      </w:r>
      <w:r w:rsidR="007A2824">
        <w:rPr>
          <w:rFonts w:ascii="Times New Roman" w:hAnsi="Times New Roman" w:cs="Times New Roman"/>
          <w:sz w:val="24"/>
          <w:szCs w:val="24"/>
        </w:rPr>
        <w:t>be</w:t>
      </w:r>
      <w:r w:rsidRPr="00FA0DC5">
        <w:rPr>
          <w:rFonts w:ascii="Times New Roman" w:hAnsi="Times New Roman" w:cs="Times New Roman"/>
          <w:sz w:val="24"/>
          <w:szCs w:val="24"/>
        </w:rPr>
        <w:t xml:space="preserve"> consistent and dispute with the provider agreement is preferred when settling the dispute. When there is a lack of mutual agreement solution, the initial aim of dispute resolution technique is to reach the dissolution of mechanisms involved in the agreement provision. The provision addressing compensation should be resolved with the condition that immediate withdrawal of the mechanisms guided by the covering agreement. The last solution which the understanding of the dispute solution processes is the ability to suspend the formulation of concession. </w:t>
      </w:r>
    </w:p>
    <w:p w14:paraId="621AEEC6" w14:textId="02F49A7D" w:rsidR="00FA0DC5" w:rsidRPr="00FA0DC5" w:rsidRDefault="00FA0DC5" w:rsidP="00FA0DC5">
      <w:pPr>
        <w:spacing w:line="480" w:lineRule="auto"/>
        <w:ind w:firstLine="720"/>
        <w:rPr>
          <w:rFonts w:ascii="Times New Roman" w:hAnsi="Times New Roman" w:cs="Times New Roman"/>
          <w:sz w:val="24"/>
          <w:szCs w:val="24"/>
        </w:rPr>
      </w:pPr>
      <w:r w:rsidRPr="00FA0DC5">
        <w:rPr>
          <w:rFonts w:ascii="Times New Roman" w:hAnsi="Times New Roman" w:cs="Times New Roman"/>
          <w:sz w:val="24"/>
          <w:szCs w:val="24"/>
        </w:rPr>
        <w:t>The pros of arbitration are that it is a convenience of hearing and seat location, confidential, provides adequate party control, and therefore, it provides better predictability of costs and neutrality. Moreover, the parties are free to choose a genuine body that will then select the arbitration team to settle their disputes. Additionally, arbitration systems in solving trade disputes are advantageous because accruing arbitration awards are easily enforceable across the world unlike the judgments issued by the English high court due to the impact of New York convention in 1958</w:t>
      </w:r>
      <w:r w:rsidRPr="00FA0DC5">
        <w:t xml:space="preserve"> </w:t>
      </w:r>
      <w:r>
        <w:t>(</w:t>
      </w:r>
      <w:proofErr w:type="spellStart"/>
      <w:r w:rsidRPr="00FA0DC5">
        <w:rPr>
          <w:rFonts w:ascii="Times New Roman" w:hAnsi="Times New Roman" w:cs="Times New Roman"/>
          <w:sz w:val="24"/>
          <w:szCs w:val="24"/>
        </w:rPr>
        <w:t>Elsig</w:t>
      </w:r>
      <w:proofErr w:type="spellEnd"/>
      <w:r w:rsidRPr="00FA0DC5">
        <w:rPr>
          <w:rFonts w:ascii="Times New Roman" w:hAnsi="Times New Roman" w:cs="Times New Roman"/>
          <w:sz w:val="24"/>
          <w:szCs w:val="24"/>
        </w:rPr>
        <w:t xml:space="preserve"> &amp; </w:t>
      </w:r>
      <w:proofErr w:type="spellStart"/>
      <w:r w:rsidRPr="00FA0DC5">
        <w:rPr>
          <w:rFonts w:ascii="Times New Roman" w:hAnsi="Times New Roman" w:cs="Times New Roman"/>
          <w:sz w:val="24"/>
          <w:szCs w:val="24"/>
        </w:rPr>
        <w:t>Eckhardt</w:t>
      </w:r>
      <w:proofErr w:type="spellEnd"/>
      <w:r w:rsidRPr="00FA0DC5">
        <w:rPr>
          <w:rFonts w:ascii="Times New Roman" w:hAnsi="Times New Roman" w:cs="Times New Roman"/>
          <w:sz w:val="24"/>
          <w:szCs w:val="24"/>
        </w:rPr>
        <w:t>, 2015</w:t>
      </w:r>
      <w:r>
        <w:rPr>
          <w:rFonts w:ascii="Times New Roman" w:hAnsi="Times New Roman" w:cs="Times New Roman"/>
          <w:sz w:val="24"/>
          <w:szCs w:val="24"/>
        </w:rPr>
        <w:t>)</w:t>
      </w:r>
      <w:r w:rsidRPr="00FA0DC5">
        <w:rPr>
          <w:rFonts w:ascii="Times New Roman" w:hAnsi="Times New Roman" w:cs="Times New Roman"/>
          <w:sz w:val="24"/>
          <w:szCs w:val="24"/>
        </w:rPr>
        <w:t>.</w:t>
      </w:r>
    </w:p>
    <w:p w14:paraId="52CFCA8C" w14:textId="6C1417CA" w:rsidR="0029427D" w:rsidRPr="00FA0DC5" w:rsidRDefault="00FA0DC5" w:rsidP="00FA0DC5">
      <w:pPr>
        <w:spacing w:line="480" w:lineRule="auto"/>
        <w:ind w:firstLine="720"/>
        <w:rPr>
          <w:rFonts w:ascii="Times New Roman" w:hAnsi="Times New Roman" w:cs="Times New Roman"/>
          <w:sz w:val="24"/>
          <w:szCs w:val="24"/>
        </w:rPr>
      </w:pPr>
      <w:r w:rsidRPr="00FA0DC5">
        <w:rPr>
          <w:rFonts w:ascii="Times New Roman" w:hAnsi="Times New Roman" w:cs="Times New Roman"/>
          <w:sz w:val="24"/>
          <w:szCs w:val="24"/>
        </w:rPr>
        <w:t xml:space="preserve">The cons of arbitration are that given the fact that it is not costly than the litigations provided by the high court, deliberations, and the views of mediators may be little intellectual vast equal high court judge. </w:t>
      </w:r>
      <w:r>
        <w:rPr>
          <w:rFonts w:ascii="Times New Roman" w:hAnsi="Times New Roman" w:cs="Times New Roman"/>
          <w:sz w:val="24"/>
          <w:szCs w:val="24"/>
        </w:rPr>
        <w:t xml:space="preserve">According to </w:t>
      </w:r>
      <w:proofErr w:type="spellStart"/>
      <w:r w:rsidR="00872C3B">
        <w:rPr>
          <w:rFonts w:ascii="Times New Roman" w:hAnsi="Times New Roman" w:cs="Times New Roman"/>
          <w:sz w:val="24"/>
          <w:szCs w:val="24"/>
        </w:rPr>
        <w:t>Elsig</w:t>
      </w:r>
      <w:proofErr w:type="spellEnd"/>
      <w:r w:rsidR="00872C3B">
        <w:rPr>
          <w:rFonts w:ascii="Times New Roman" w:hAnsi="Times New Roman" w:cs="Times New Roman"/>
          <w:sz w:val="24"/>
          <w:szCs w:val="24"/>
        </w:rPr>
        <w:t xml:space="preserve"> &amp; </w:t>
      </w:r>
      <w:proofErr w:type="spellStart"/>
      <w:r w:rsidR="00872C3B">
        <w:rPr>
          <w:rFonts w:ascii="Times New Roman" w:hAnsi="Times New Roman" w:cs="Times New Roman"/>
          <w:sz w:val="24"/>
          <w:szCs w:val="24"/>
        </w:rPr>
        <w:t>Eckhardt</w:t>
      </w:r>
      <w:proofErr w:type="spellEnd"/>
      <w:r w:rsidRPr="00FA0DC5">
        <w:rPr>
          <w:rFonts w:ascii="Times New Roman" w:hAnsi="Times New Roman" w:cs="Times New Roman"/>
          <w:sz w:val="24"/>
          <w:szCs w:val="24"/>
        </w:rPr>
        <w:t xml:space="preserve"> </w:t>
      </w:r>
      <w:r>
        <w:rPr>
          <w:rFonts w:ascii="Times New Roman" w:hAnsi="Times New Roman" w:cs="Times New Roman"/>
          <w:sz w:val="24"/>
          <w:szCs w:val="24"/>
        </w:rPr>
        <w:t>(</w:t>
      </w:r>
      <w:r w:rsidRPr="00FA0DC5">
        <w:rPr>
          <w:rFonts w:ascii="Times New Roman" w:hAnsi="Times New Roman" w:cs="Times New Roman"/>
          <w:sz w:val="24"/>
          <w:szCs w:val="24"/>
        </w:rPr>
        <w:t>2015</w:t>
      </w:r>
      <w:r>
        <w:rPr>
          <w:rFonts w:ascii="Times New Roman" w:hAnsi="Times New Roman" w:cs="Times New Roman"/>
          <w:sz w:val="24"/>
          <w:szCs w:val="24"/>
        </w:rPr>
        <w:t>)</w:t>
      </w:r>
      <w:r w:rsidR="00872C3B">
        <w:rPr>
          <w:rFonts w:ascii="Times New Roman" w:hAnsi="Times New Roman" w:cs="Times New Roman"/>
          <w:sz w:val="24"/>
          <w:szCs w:val="24"/>
        </w:rPr>
        <w:t>,</w:t>
      </w:r>
      <w:r>
        <w:rPr>
          <w:rFonts w:ascii="Times New Roman" w:hAnsi="Times New Roman" w:cs="Times New Roman"/>
          <w:sz w:val="24"/>
          <w:szCs w:val="24"/>
        </w:rPr>
        <w:t xml:space="preserve"> i</w:t>
      </w:r>
      <w:r w:rsidRPr="00FA0DC5">
        <w:rPr>
          <w:rFonts w:ascii="Times New Roman" w:hAnsi="Times New Roman" w:cs="Times New Roman"/>
          <w:sz w:val="24"/>
          <w:szCs w:val="24"/>
        </w:rPr>
        <w:t xml:space="preserve">nterim measures like injunctions are hard to achieve; there are no legal proceedings that are developed because awards </w:t>
      </w:r>
      <w:r w:rsidRPr="00FA0DC5">
        <w:rPr>
          <w:rFonts w:ascii="Times New Roman" w:hAnsi="Times New Roman" w:cs="Times New Roman"/>
          <w:sz w:val="24"/>
          <w:szCs w:val="24"/>
        </w:rPr>
        <w:lastRenderedPageBreak/>
        <w:t xml:space="preserve">are prohibited from being published by the systems of arbitration. While there is time to finalize the dispute, it comes with a big price, which is the rights to appeal to oppose arbitration awards that are in deficit than the high court provides it.  </w:t>
      </w:r>
    </w:p>
    <w:p w14:paraId="2BE2F5E7" w14:textId="77777777" w:rsidR="00FA0DC5" w:rsidRDefault="00FA0DC5" w:rsidP="00FA0DC5">
      <w:pPr>
        <w:spacing w:line="480" w:lineRule="auto"/>
        <w:jc w:val="center"/>
        <w:rPr>
          <w:rFonts w:ascii="Times New Roman" w:hAnsi="Times New Roman" w:cs="Times New Roman"/>
          <w:sz w:val="24"/>
          <w:szCs w:val="24"/>
        </w:rPr>
      </w:pPr>
    </w:p>
    <w:p w14:paraId="54344986" w14:textId="77777777" w:rsidR="00FA0DC5" w:rsidRDefault="00FA0DC5" w:rsidP="00FA0DC5">
      <w:pPr>
        <w:spacing w:line="480" w:lineRule="auto"/>
        <w:jc w:val="center"/>
        <w:rPr>
          <w:rFonts w:ascii="Times New Roman" w:hAnsi="Times New Roman" w:cs="Times New Roman"/>
          <w:sz w:val="24"/>
          <w:szCs w:val="24"/>
        </w:rPr>
      </w:pPr>
    </w:p>
    <w:p w14:paraId="094BF0BF" w14:textId="77777777" w:rsidR="00FA0DC5" w:rsidRDefault="00FA0DC5" w:rsidP="00FA0DC5">
      <w:pPr>
        <w:spacing w:line="480" w:lineRule="auto"/>
        <w:jc w:val="center"/>
        <w:rPr>
          <w:rFonts w:ascii="Times New Roman" w:hAnsi="Times New Roman" w:cs="Times New Roman"/>
          <w:sz w:val="24"/>
          <w:szCs w:val="24"/>
        </w:rPr>
      </w:pPr>
    </w:p>
    <w:p w14:paraId="0B2307D2" w14:textId="77777777" w:rsidR="00FA0DC5" w:rsidRDefault="00FA0DC5" w:rsidP="00FA0DC5">
      <w:pPr>
        <w:spacing w:line="480" w:lineRule="auto"/>
        <w:jc w:val="center"/>
        <w:rPr>
          <w:rFonts w:ascii="Times New Roman" w:hAnsi="Times New Roman" w:cs="Times New Roman"/>
          <w:sz w:val="24"/>
          <w:szCs w:val="24"/>
        </w:rPr>
      </w:pPr>
    </w:p>
    <w:p w14:paraId="5A212772" w14:textId="77777777" w:rsidR="00FA0DC5" w:rsidRDefault="00FA0DC5" w:rsidP="00FA0DC5">
      <w:pPr>
        <w:spacing w:line="480" w:lineRule="auto"/>
        <w:jc w:val="center"/>
        <w:rPr>
          <w:rFonts w:ascii="Times New Roman" w:hAnsi="Times New Roman" w:cs="Times New Roman"/>
          <w:sz w:val="24"/>
          <w:szCs w:val="24"/>
        </w:rPr>
      </w:pPr>
    </w:p>
    <w:p w14:paraId="3F8D66E7" w14:textId="77777777" w:rsidR="00FA0DC5" w:rsidRDefault="00FA0DC5" w:rsidP="00FA0DC5">
      <w:pPr>
        <w:spacing w:line="480" w:lineRule="auto"/>
        <w:jc w:val="center"/>
        <w:rPr>
          <w:rFonts w:ascii="Times New Roman" w:hAnsi="Times New Roman" w:cs="Times New Roman"/>
          <w:sz w:val="24"/>
          <w:szCs w:val="24"/>
        </w:rPr>
      </w:pPr>
    </w:p>
    <w:p w14:paraId="6BD2703B" w14:textId="77777777" w:rsidR="00FA0DC5" w:rsidRDefault="00FA0DC5" w:rsidP="00FA0DC5">
      <w:pPr>
        <w:spacing w:line="480" w:lineRule="auto"/>
        <w:jc w:val="center"/>
        <w:rPr>
          <w:rFonts w:ascii="Times New Roman" w:hAnsi="Times New Roman" w:cs="Times New Roman"/>
          <w:sz w:val="24"/>
          <w:szCs w:val="24"/>
        </w:rPr>
      </w:pPr>
    </w:p>
    <w:p w14:paraId="445E502B" w14:textId="77777777" w:rsidR="00FA0DC5" w:rsidRDefault="00FA0DC5" w:rsidP="00FA0DC5">
      <w:pPr>
        <w:spacing w:line="480" w:lineRule="auto"/>
        <w:jc w:val="center"/>
        <w:rPr>
          <w:rFonts w:ascii="Times New Roman" w:hAnsi="Times New Roman" w:cs="Times New Roman"/>
          <w:sz w:val="24"/>
          <w:szCs w:val="24"/>
        </w:rPr>
      </w:pPr>
    </w:p>
    <w:p w14:paraId="4F3FB0F2" w14:textId="77777777" w:rsidR="00FA0DC5" w:rsidRDefault="00FA0DC5" w:rsidP="00FA0DC5">
      <w:pPr>
        <w:spacing w:line="480" w:lineRule="auto"/>
        <w:jc w:val="center"/>
        <w:rPr>
          <w:rFonts w:ascii="Times New Roman" w:hAnsi="Times New Roman" w:cs="Times New Roman"/>
          <w:sz w:val="24"/>
          <w:szCs w:val="24"/>
        </w:rPr>
      </w:pPr>
    </w:p>
    <w:p w14:paraId="532C8333" w14:textId="77777777" w:rsidR="00FA0DC5" w:rsidRDefault="00FA0DC5" w:rsidP="00FA0DC5">
      <w:pPr>
        <w:spacing w:line="480" w:lineRule="auto"/>
        <w:jc w:val="center"/>
        <w:rPr>
          <w:rFonts w:ascii="Times New Roman" w:hAnsi="Times New Roman" w:cs="Times New Roman"/>
          <w:sz w:val="24"/>
          <w:szCs w:val="24"/>
        </w:rPr>
      </w:pPr>
    </w:p>
    <w:p w14:paraId="3291F647" w14:textId="77777777" w:rsidR="00FA0DC5" w:rsidRDefault="00FA0DC5" w:rsidP="00872C3B">
      <w:pPr>
        <w:spacing w:line="480" w:lineRule="auto"/>
        <w:rPr>
          <w:rFonts w:ascii="Times New Roman" w:hAnsi="Times New Roman" w:cs="Times New Roman"/>
          <w:sz w:val="24"/>
          <w:szCs w:val="24"/>
        </w:rPr>
      </w:pPr>
    </w:p>
    <w:p w14:paraId="3C7C130A" w14:textId="77777777" w:rsidR="00872C3B" w:rsidRDefault="00872C3B">
      <w:pPr>
        <w:rPr>
          <w:rFonts w:ascii="Times New Roman" w:hAnsi="Times New Roman" w:cs="Times New Roman"/>
          <w:sz w:val="24"/>
          <w:szCs w:val="24"/>
        </w:rPr>
      </w:pPr>
      <w:r>
        <w:rPr>
          <w:rFonts w:ascii="Times New Roman" w:hAnsi="Times New Roman" w:cs="Times New Roman"/>
          <w:sz w:val="24"/>
          <w:szCs w:val="24"/>
        </w:rPr>
        <w:br w:type="page"/>
      </w:r>
    </w:p>
    <w:p w14:paraId="1E3CEDB2" w14:textId="59E18A1B" w:rsidR="0029427D" w:rsidRPr="00FA0DC5" w:rsidRDefault="0029427D" w:rsidP="00FA0DC5">
      <w:pPr>
        <w:spacing w:line="480" w:lineRule="auto"/>
        <w:jc w:val="center"/>
        <w:rPr>
          <w:rFonts w:ascii="Times New Roman" w:hAnsi="Times New Roman" w:cs="Times New Roman"/>
          <w:sz w:val="24"/>
          <w:szCs w:val="24"/>
        </w:rPr>
      </w:pPr>
      <w:r w:rsidRPr="00FA0DC5">
        <w:rPr>
          <w:rFonts w:ascii="Times New Roman" w:hAnsi="Times New Roman" w:cs="Times New Roman"/>
          <w:sz w:val="24"/>
          <w:szCs w:val="24"/>
        </w:rPr>
        <w:lastRenderedPageBreak/>
        <w:t>References</w:t>
      </w:r>
    </w:p>
    <w:p w14:paraId="25CFF465" w14:textId="77777777" w:rsidR="00FA0DC5" w:rsidRPr="00FA0DC5" w:rsidRDefault="00FA0DC5" w:rsidP="00FA0DC5">
      <w:pPr>
        <w:spacing w:line="480" w:lineRule="auto"/>
        <w:ind w:left="720" w:hanging="720"/>
        <w:rPr>
          <w:rFonts w:ascii="Times New Roman" w:hAnsi="Times New Roman" w:cs="Times New Roman"/>
          <w:color w:val="222222"/>
          <w:sz w:val="24"/>
          <w:szCs w:val="24"/>
          <w:shd w:val="clear" w:color="auto" w:fill="FFFFFF"/>
        </w:rPr>
      </w:pPr>
      <w:r w:rsidRPr="00FA0DC5">
        <w:rPr>
          <w:rFonts w:ascii="Times New Roman" w:hAnsi="Times New Roman" w:cs="Times New Roman"/>
          <w:color w:val="222222"/>
          <w:sz w:val="24"/>
          <w:szCs w:val="24"/>
          <w:shd w:val="clear" w:color="auto" w:fill="FFFFFF"/>
        </w:rPr>
        <w:t>Cohen, J. A. (2014). Settling international business disputes with China: Then and now. </w:t>
      </w:r>
      <w:r w:rsidRPr="00FA0DC5">
        <w:rPr>
          <w:rFonts w:ascii="Times New Roman" w:hAnsi="Times New Roman" w:cs="Times New Roman"/>
          <w:i/>
          <w:iCs/>
          <w:color w:val="222222"/>
          <w:sz w:val="24"/>
          <w:szCs w:val="24"/>
          <w:shd w:val="clear" w:color="auto" w:fill="FFFFFF"/>
        </w:rPr>
        <w:t>Cornell Int'l LJ</w:t>
      </w:r>
      <w:r w:rsidRPr="00FA0DC5">
        <w:rPr>
          <w:rFonts w:ascii="Times New Roman" w:hAnsi="Times New Roman" w:cs="Times New Roman"/>
          <w:color w:val="222222"/>
          <w:sz w:val="24"/>
          <w:szCs w:val="24"/>
          <w:shd w:val="clear" w:color="auto" w:fill="FFFFFF"/>
        </w:rPr>
        <w:t>, </w:t>
      </w:r>
      <w:r w:rsidRPr="00FA0DC5">
        <w:rPr>
          <w:rFonts w:ascii="Times New Roman" w:hAnsi="Times New Roman" w:cs="Times New Roman"/>
          <w:i/>
          <w:iCs/>
          <w:color w:val="222222"/>
          <w:sz w:val="24"/>
          <w:szCs w:val="24"/>
          <w:shd w:val="clear" w:color="auto" w:fill="FFFFFF"/>
        </w:rPr>
        <w:t>47</w:t>
      </w:r>
      <w:r w:rsidRPr="00FA0DC5">
        <w:rPr>
          <w:rFonts w:ascii="Times New Roman" w:hAnsi="Times New Roman" w:cs="Times New Roman"/>
          <w:color w:val="222222"/>
          <w:sz w:val="24"/>
          <w:szCs w:val="24"/>
          <w:shd w:val="clear" w:color="auto" w:fill="FFFFFF"/>
        </w:rPr>
        <w:t>, 555.</w:t>
      </w:r>
    </w:p>
    <w:p w14:paraId="35DF8110" w14:textId="77777777" w:rsidR="00FA0DC5" w:rsidRPr="00FA0DC5" w:rsidRDefault="00FA0DC5" w:rsidP="00FA0DC5">
      <w:pPr>
        <w:spacing w:line="480" w:lineRule="auto"/>
        <w:ind w:left="720" w:hanging="720"/>
        <w:rPr>
          <w:rFonts w:ascii="Times New Roman" w:hAnsi="Times New Roman" w:cs="Times New Roman"/>
          <w:color w:val="222222"/>
          <w:sz w:val="24"/>
          <w:szCs w:val="24"/>
          <w:shd w:val="clear" w:color="auto" w:fill="FFFFFF"/>
        </w:rPr>
      </w:pPr>
      <w:proofErr w:type="spellStart"/>
      <w:r w:rsidRPr="00FA0DC5">
        <w:rPr>
          <w:rFonts w:ascii="Times New Roman" w:hAnsi="Times New Roman" w:cs="Times New Roman"/>
          <w:color w:val="222222"/>
          <w:sz w:val="24"/>
          <w:szCs w:val="24"/>
          <w:shd w:val="clear" w:color="auto" w:fill="FFFFFF"/>
        </w:rPr>
        <w:t>Elsig</w:t>
      </w:r>
      <w:proofErr w:type="spellEnd"/>
      <w:r w:rsidRPr="00FA0DC5">
        <w:rPr>
          <w:rFonts w:ascii="Times New Roman" w:hAnsi="Times New Roman" w:cs="Times New Roman"/>
          <w:color w:val="222222"/>
          <w:sz w:val="24"/>
          <w:szCs w:val="24"/>
          <w:shd w:val="clear" w:color="auto" w:fill="FFFFFF"/>
        </w:rPr>
        <w:t>, M., &amp; Eckhardt, J. (2015). The creation of the multilateral trade court: Design and experiential learning. </w:t>
      </w:r>
      <w:r w:rsidRPr="00FA0DC5">
        <w:rPr>
          <w:rFonts w:ascii="Times New Roman" w:hAnsi="Times New Roman" w:cs="Times New Roman"/>
          <w:i/>
          <w:iCs/>
          <w:color w:val="222222"/>
          <w:sz w:val="24"/>
          <w:szCs w:val="24"/>
          <w:shd w:val="clear" w:color="auto" w:fill="FFFFFF"/>
        </w:rPr>
        <w:t>World Trade Review</w:t>
      </w:r>
      <w:r w:rsidRPr="00FA0DC5">
        <w:rPr>
          <w:rFonts w:ascii="Times New Roman" w:hAnsi="Times New Roman" w:cs="Times New Roman"/>
          <w:color w:val="222222"/>
          <w:sz w:val="24"/>
          <w:szCs w:val="24"/>
          <w:shd w:val="clear" w:color="auto" w:fill="FFFFFF"/>
        </w:rPr>
        <w:t>, </w:t>
      </w:r>
      <w:r w:rsidRPr="00FA0DC5">
        <w:rPr>
          <w:rFonts w:ascii="Times New Roman" w:hAnsi="Times New Roman" w:cs="Times New Roman"/>
          <w:i/>
          <w:iCs/>
          <w:color w:val="222222"/>
          <w:sz w:val="24"/>
          <w:szCs w:val="24"/>
          <w:shd w:val="clear" w:color="auto" w:fill="FFFFFF"/>
        </w:rPr>
        <w:t>14</w:t>
      </w:r>
      <w:r w:rsidRPr="00FA0DC5">
        <w:rPr>
          <w:rFonts w:ascii="Times New Roman" w:hAnsi="Times New Roman" w:cs="Times New Roman"/>
          <w:color w:val="222222"/>
          <w:sz w:val="24"/>
          <w:szCs w:val="24"/>
          <w:shd w:val="clear" w:color="auto" w:fill="FFFFFF"/>
        </w:rPr>
        <w:t>(S1), S13-S32.</w:t>
      </w:r>
    </w:p>
    <w:p w14:paraId="6DB11BC5" w14:textId="77777777" w:rsidR="0029427D" w:rsidRPr="00FA0DC5" w:rsidRDefault="0029427D" w:rsidP="00FA0DC5">
      <w:pPr>
        <w:spacing w:line="480" w:lineRule="auto"/>
        <w:rPr>
          <w:rFonts w:ascii="Times New Roman" w:hAnsi="Times New Roman" w:cs="Times New Roman"/>
          <w:sz w:val="24"/>
          <w:szCs w:val="24"/>
        </w:rPr>
      </w:pPr>
    </w:p>
    <w:sectPr w:rsidR="0029427D" w:rsidRPr="00FA0DC5" w:rsidSect="00872C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FF18C7" w14:textId="77777777" w:rsidR="00CB7CF0" w:rsidRDefault="00CB7CF0" w:rsidP="00FA0DC5">
      <w:pPr>
        <w:spacing w:after="0" w:line="240" w:lineRule="auto"/>
      </w:pPr>
      <w:r>
        <w:separator/>
      </w:r>
    </w:p>
  </w:endnote>
  <w:endnote w:type="continuationSeparator" w:id="0">
    <w:p w14:paraId="5CA22773" w14:textId="77777777" w:rsidR="00CB7CF0" w:rsidRDefault="00CB7CF0" w:rsidP="00FA0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46F0FC" w14:textId="77777777" w:rsidR="00CB7CF0" w:rsidRDefault="00CB7CF0" w:rsidP="00FA0DC5">
      <w:pPr>
        <w:spacing w:after="0" w:line="240" w:lineRule="auto"/>
      </w:pPr>
      <w:r>
        <w:separator/>
      </w:r>
    </w:p>
  </w:footnote>
  <w:footnote w:type="continuationSeparator" w:id="0">
    <w:p w14:paraId="305DF638" w14:textId="77777777" w:rsidR="00CB7CF0" w:rsidRDefault="00CB7CF0" w:rsidP="00FA0D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6859330"/>
      <w:docPartObj>
        <w:docPartGallery w:val="Page Numbers (Top of Page)"/>
        <w:docPartUnique/>
      </w:docPartObj>
    </w:sdtPr>
    <w:sdtEndPr>
      <w:rPr>
        <w:noProof/>
      </w:rPr>
    </w:sdtEndPr>
    <w:sdtContent>
      <w:p w14:paraId="5DA86743" w14:textId="54ED1FD7" w:rsidR="00872C3B" w:rsidRPr="00872C3B" w:rsidRDefault="00872C3B">
        <w:pPr>
          <w:pStyle w:val="Header"/>
          <w:jc w:val="right"/>
          <w:rPr>
            <w:rFonts w:ascii="Times New Roman" w:hAnsi="Times New Roman" w:cs="Times New Roman"/>
            <w:sz w:val="24"/>
            <w:szCs w:val="24"/>
          </w:rPr>
        </w:pPr>
        <w:r w:rsidRPr="00872C3B">
          <w:rPr>
            <w:rFonts w:ascii="Times New Roman" w:hAnsi="Times New Roman" w:cs="Times New Roman"/>
            <w:sz w:val="24"/>
            <w:szCs w:val="24"/>
          </w:rPr>
          <w:t>SETTLING TRADE DISPUTE</w:t>
        </w:r>
        <w:r>
          <w:rPr>
            <w:rFonts w:ascii="Times New Roman" w:hAnsi="Times New Roman" w:cs="Times New Roman"/>
            <w:sz w:val="24"/>
            <w:szCs w:val="24"/>
          </w:rPr>
          <w:t xml:space="preserve">                                                                                                       </w:t>
        </w:r>
        <w:r w:rsidRPr="00872C3B">
          <w:rPr>
            <w:rFonts w:ascii="Times New Roman" w:hAnsi="Times New Roman" w:cs="Times New Roman"/>
            <w:sz w:val="24"/>
            <w:szCs w:val="24"/>
          </w:rPr>
          <w:fldChar w:fldCharType="begin"/>
        </w:r>
        <w:r w:rsidRPr="00872C3B">
          <w:rPr>
            <w:rFonts w:ascii="Times New Roman" w:hAnsi="Times New Roman" w:cs="Times New Roman"/>
            <w:sz w:val="24"/>
            <w:szCs w:val="24"/>
          </w:rPr>
          <w:instrText xml:space="preserve"> PAGE   \* MERGEFORMAT </w:instrText>
        </w:r>
        <w:r w:rsidRPr="00872C3B">
          <w:rPr>
            <w:rFonts w:ascii="Times New Roman" w:hAnsi="Times New Roman" w:cs="Times New Roman"/>
            <w:sz w:val="24"/>
            <w:szCs w:val="24"/>
          </w:rPr>
          <w:fldChar w:fldCharType="separate"/>
        </w:r>
        <w:r w:rsidR="005A76BB">
          <w:rPr>
            <w:rFonts w:ascii="Times New Roman" w:hAnsi="Times New Roman" w:cs="Times New Roman"/>
            <w:noProof/>
            <w:sz w:val="24"/>
            <w:szCs w:val="24"/>
          </w:rPr>
          <w:t>2</w:t>
        </w:r>
        <w:r w:rsidRPr="00872C3B">
          <w:rPr>
            <w:rFonts w:ascii="Times New Roman" w:hAnsi="Times New Roman" w:cs="Times New Roman"/>
            <w:noProof/>
            <w:sz w:val="24"/>
            <w:szCs w:val="24"/>
          </w:rPr>
          <w:fldChar w:fldCharType="end"/>
        </w:r>
      </w:p>
    </w:sdtContent>
  </w:sdt>
  <w:p w14:paraId="3CCAACCD" w14:textId="77777777" w:rsidR="00872C3B" w:rsidRPr="00872C3B" w:rsidRDefault="00872C3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29312155"/>
      <w:docPartObj>
        <w:docPartGallery w:val="Page Numbers (Top of Page)"/>
        <w:docPartUnique/>
      </w:docPartObj>
    </w:sdtPr>
    <w:sdtEndPr>
      <w:rPr>
        <w:noProof/>
      </w:rPr>
    </w:sdtEndPr>
    <w:sdtContent>
      <w:p w14:paraId="6F891589" w14:textId="70E2EF3D" w:rsidR="00872C3B" w:rsidRPr="00872C3B" w:rsidRDefault="00872C3B">
        <w:pPr>
          <w:pStyle w:val="Header"/>
          <w:jc w:val="right"/>
          <w:rPr>
            <w:rFonts w:ascii="Times New Roman" w:hAnsi="Times New Roman" w:cs="Times New Roman"/>
            <w:sz w:val="24"/>
            <w:szCs w:val="24"/>
          </w:rPr>
        </w:pPr>
        <w:r w:rsidRPr="00872C3B">
          <w:rPr>
            <w:rFonts w:ascii="Times New Roman" w:hAnsi="Times New Roman" w:cs="Times New Roman"/>
            <w:sz w:val="24"/>
            <w:szCs w:val="24"/>
          </w:rPr>
          <w:t>Running head: SETTLING TRADE DISPUTE</w:t>
        </w:r>
        <w:r>
          <w:rPr>
            <w:rFonts w:ascii="Times New Roman" w:hAnsi="Times New Roman" w:cs="Times New Roman"/>
            <w:sz w:val="24"/>
            <w:szCs w:val="24"/>
          </w:rPr>
          <w:t xml:space="preserve">                                                                              </w:t>
        </w:r>
        <w:r w:rsidRPr="00872C3B">
          <w:rPr>
            <w:rFonts w:ascii="Times New Roman" w:hAnsi="Times New Roman" w:cs="Times New Roman"/>
            <w:sz w:val="24"/>
            <w:szCs w:val="24"/>
          </w:rPr>
          <w:fldChar w:fldCharType="begin"/>
        </w:r>
        <w:r w:rsidRPr="00872C3B">
          <w:rPr>
            <w:rFonts w:ascii="Times New Roman" w:hAnsi="Times New Roman" w:cs="Times New Roman"/>
            <w:sz w:val="24"/>
            <w:szCs w:val="24"/>
          </w:rPr>
          <w:instrText xml:space="preserve"> PAGE   \* MERGEFORMAT </w:instrText>
        </w:r>
        <w:r w:rsidRPr="00872C3B">
          <w:rPr>
            <w:rFonts w:ascii="Times New Roman" w:hAnsi="Times New Roman" w:cs="Times New Roman"/>
            <w:sz w:val="24"/>
            <w:szCs w:val="24"/>
          </w:rPr>
          <w:fldChar w:fldCharType="separate"/>
        </w:r>
        <w:r w:rsidR="005A76BB">
          <w:rPr>
            <w:rFonts w:ascii="Times New Roman" w:hAnsi="Times New Roman" w:cs="Times New Roman"/>
            <w:noProof/>
            <w:sz w:val="24"/>
            <w:szCs w:val="24"/>
          </w:rPr>
          <w:t>1</w:t>
        </w:r>
        <w:r w:rsidRPr="00872C3B">
          <w:rPr>
            <w:rFonts w:ascii="Times New Roman" w:hAnsi="Times New Roman" w:cs="Times New Roman"/>
            <w:noProof/>
            <w:sz w:val="24"/>
            <w:szCs w:val="24"/>
          </w:rPr>
          <w:fldChar w:fldCharType="end"/>
        </w:r>
      </w:p>
    </w:sdtContent>
  </w:sdt>
  <w:p w14:paraId="55C678C6" w14:textId="77777777" w:rsidR="00872C3B" w:rsidRPr="00872C3B" w:rsidRDefault="00872C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67D"/>
    <w:rsid w:val="000D3260"/>
    <w:rsid w:val="00283ACC"/>
    <w:rsid w:val="0029427D"/>
    <w:rsid w:val="002E04EB"/>
    <w:rsid w:val="003C4C14"/>
    <w:rsid w:val="0045220F"/>
    <w:rsid w:val="005A76BB"/>
    <w:rsid w:val="006D3053"/>
    <w:rsid w:val="007A2824"/>
    <w:rsid w:val="007F72B2"/>
    <w:rsid w:val="00872C3B"/>
    <w:rsid w:val="009E3D8A"/>
    <w:rsid w:val="00CB7CF0"/>
    <w:rsid w:val="00D84329"/>
    <w:rsid w:val="00DC4132"/>
    <w:rsid w:val="00E063B1"/>
    <w:rsid w:val="00F20385"/>
    <w:rsid w:val="00F32755"/>
    <w:rsid w:val="00F3667D"/>
    <w:rsid w:val="00FA0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A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DC5"/>
  </w:style>
  <w:style w:type="paragraph" w:styleId="Footer">
    <w:name w:val="footer"/>
    <w:basedOn w:val="Normal"/>
    <w:link w:val="FooterChar"/>
    <w:uiPriority w:val="99"/>
    <w:unhideWhenUsed/>
    <w:rsid w:val="00FA0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D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DC5"/>
  </w:style>
  <w:style w:type="paragraph" w:styleId="Footer">
    <w:name w:val="footer"/>
    <w:basedOn w:val="Normal"/>
    <w:link w:val="FooterChar"/>
    <w:uiPriority w:val="99"/>
    <w:unhideWhenUsed/>
    <w:rsid w:val="00FA0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2019-07-03T16:36:00Z</dcterms:created>
  <dcterms:modified xsi:type="dcterms:W3CDTF">2019-07-03T17:07:00Z</dcterms:modified>
</cp:coreProperties>
</file>